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724" w:rsidRPr="00A75B53" w:rsidRDefault="00A27C06">
      <w:r w:rsidRPr="00A75B53">
        <w:t>BPS – COHORT 27</w:t>
      </w:r>
    </w:p>
    <w:p w:rsidR="00A27C06" w:rsidRPr="00A75B53" w:rsidRDefault="00A27C06">
      <w:r w:rsidRPr="00A75B53">
        <w:t>Itonya  Dismond</w:t>
      </w:r>
    </w:p>
    <w:p w:rsidR="00A27C06" w:rsidRPr="00A75B53" w:rsidRDefault="00A27C06">
      <w:r w:rsidRPr="00A75B53">
        <w:t>7. Understanding the Basic Function of ACC Devices</w:t>
      </w:r>
    </w:p>
    <w:p w:rsidR="00A75B53" w:rsidRPr="00A75B53" w:rsidRDefault="00A27C06" w:rsidP="00A75B53">
      <w:pPr>
        <w:pStyle w:val="NormalWeb"/>
        <w:rPr>
          <w:rFonts w:asciiTheme="minorHAnsi" w:hAnsiTheme="minorHAnsi"/>
          <w:lang/>
        </w:rPr>
      </w:pPr>
      <w:r w:rsidRPr="00A75B53">
        <w:rPr>
          <w:rFonts w:asciiTheme="minorHAnsi" w:hAnsiTheme="minorHAnsi"/>
        </w:rPr>
        <w:t xml:space="preserve">   After reading Augmentative &amp; Alternative Communication, I believe communication device users</w:t>
      </w:r>
      <w:r w:rsidR="009E287A" w:rsidRPr="00A75B53">
        <w:rPr>
          <w:rFonts w:asciiTheme="minorHAnsi" w:hAnsiTheme="minorHAnsi"/>
        </w:rPr>
        <w:t xml:space="preserve"> have functional communication.  </w:t>
      </w:r>
      <w:r w:rsidR="00A75B53" w:rsidRPr="00A75B53">
        <w:rPr>
          <w:rFonts w:asciiTheme="minorHAnsi" w:hAnsiTheme="minorHAnsi"/>
          <w:lang/>
        </w:rPr>
        <w:t>According to a 1997</w:t>
      </w:r>
      <w:r w:rsidR="00A75B53" w:rsidRPr="00A75B53">
        <w:rPr>
          <w:rFonts w:asciiTheme="minorHAnsi" w:hAnsiTheme="minorHAnsi"/>
          <w:color w:val="0000FF"/>
          <w:u w:val="single"/>
          <w:lang/>
        </w:rPr>
        <w:t xml:space="preserve"> Census Bureau </w:t>
      </w:r>
      <w:r w:rsidR="00D33D55" w:rsidRPr="00A75B53">
        <w:rPr>
          <w:rFonts w:asciiTheme="minorHAnsi" w:hAnsiTheme="minorHAnsi"/>
          <w:lang/>
        </w:rPr>
        <w:t>report less than 10% of severely disabled individuals were employed. Despite the various barriers to employment, some AAC users achieve success in educational endeavors and employment, though often in lower paying jobs.</w:t>
      </w:r>
      <w:hyperlink r:id="rId5" w:anchor="cite_note-Hamm.2C_B._2006-103" w:history="1">
        <w:r w:rsidR="00D33D55" w:rsidRPr="00A75B53">
          <w:rPr>
            <w:rFonts w:asciiTheme="minorHAnsi" w:hAnsiTheme="minorHAnsi"/>
            <w:color w:val="0000FF"/>
            <w:u w:val="single"/>
            <w:vertAlign w:val="superscript"/>
            <w:lang/>
          </w:rPr>
          <w:t>[104]</w:t>
        </w:r>
      </w:hyperlink>
      <w:hyperlink r:id="rId6" w:anchor="cite_note-104" w:history="1">
        <w:r w:rsidR="00D33D55" w:rsidRPr="00A75B53">
          <w:rPr>
            <w:rFonts w:asciiTheme="minorHAnsi" w:hAnsiTheme="minorHAnsi"/>
            <w:color w:val="0000FF"/>
            <w:u w:val="single"/>
            <w:vertAlign w:val="superscript"/>
            <w:lang/>
          </w:rPr>
          <w:t>[105]</w:t>
        </w:r>
      </w:hyperlink>
      <w:r w:rsidR="00D33D55" w:rsidRPr="00A75B53">
        <w:rPr>
          <w:rFonts w:asciiTheme="minorHAnsi" w:hAnsiTheme="minorHAnsi"/>
          <w:lang/>
        </w:rPr>
        <w:t xml:space="preserve"> Factors that have been found to be related to employment are a strong </w:t>
      </w:r>
      <w:hyperlink r:id="rId7" w:tooltip="Work ethic" w:history="1">
        <w:r w:rsidR="00D33D55" w:rsidRPr="00A75B53">
          <w:rPr>
            <w:rFonts w:asciiTheme="minorHAnsi" w:hAnsiTheme="minorHAnsi"/>
            <w:color w:val="0000FF"/>
            <w:u w:val="single"/>
            <w:lang/>
          </w:rPr>
          <w:t>work ethic</w:t>
        </w:r>
      </w:hyperlink>
      <w:r w:rsidR="00D33D55" w:rsidRPr="00A75B53">
        <w:rPr>
          <w:rFonts w:asciiTheme="minorHAnsi" w:hAnsiTheme="minorHAnsi"/>
          <w:lang/>
        </w:rPr>
        <w:t xml:space="preserve"> and access to AAC technology, the support of family and friends, education, and work skills.</w:t>
      </w:r>
      <w:hyperlink r:id="rId8" w:anchor="cite_note-McNaughton.2C_D._Light_2002-105" w:history="1">
        <w:r w:rsidR="00D33D55" w:rsidRPr="00A75B53">
          <w:rPr>
            <w:rFonts w:asciiTheme="minorHAnsi" w:hAnsiTheme="minorHAnsi"/>
            <w:color w:val="0000FF"/>
            <w:u w:val="single"/>
            <w:vertAlign w:val="superscript"/>
            <w:lang/>
          </w:rPr>
          <w:t>[106]</w:t>
        </w:r>
      </w:hyperlink>
      <w:r w:rsidR="00D33D55" w:rsidRPr="00A75B53">
        <w:rPr>
          <w:rFonts w:asciiTheme="minorHAnsi" w:hAnsiTheme="minorHAnsi"/>
          <w:lang/>
        </w:rPr>
        <w:t xml:space="preserve"> Individuals with ALS who use AAC may continue working; factors supporting continued employment include access to AAC, support from employers, governmental programs and others.</w:t>
      </w:r>
      <w:hyperlink r:id="rId9" w:anchor="cite_note-McNaughton.2C_D._Light_2001-106" w:history="1">
        <w:r w:rsidR="00D33D55" w:rsidRPr="00A75B53">
          <w:rPr>
            <w:rFonts w:asciiTheme="minorHAnsi" w:hAnsiTheme="minorHAnsi"/>
            <w:color w:val="0000FF"/>
            <w:u w:val="single"/>
            <w:vertAlign w:val="superscript"/>
            <w:lang/>
          </w:rPr>
          <w:t>[107]</w:t>
        </w:r>
      </w:hyperlink>
      <w:r w:rsidR="00D33D55" w:rsidRPr="00A75B53">
        <w:rPr>
          <w:rFonts w:asciiTheme="minorHAnsi" w:hAnsiTheme="minorHAnsi"/>
          <w:lang/>
        </w:rPr>
        <w:t xml:space="preserve"> Employers of AAC users report that skills in </w:t>
      </w:r>
      <w:hyperlink r:id="rId10" w:tooltip="Time management" w:history="1">
        <w:r w:rsidR="00D33D55" w:rsidRPr="00A75B53">
          <w:rPr>
            <w:rFonts w:asciiTheme="minorHAnsi" w:hAnsiTheme="minorHAnsi"/>
            <w:color w:val="0000FF"/>
            <w:u w:val="single"/>
            <w:lang/>
          </w:rPr>
          <w:t>time management</w:t>
        </w:r>
      </w:hyperlink>
      <w:r w:rsidR="00D33D55" w:rsidRPr="00A75B53">
        <w:rPr>
          <w:rFonts w:asciiTheme="minorHAnsi" w:hAnsiTheme="minorHAnsi"/>
          <w:lang/>
        </w:rPr>
        <w:t xml:space="preserve">, </w:t>
      </w:r>
      <w:hyperlink r:id="rId11" w:tooltip="Problem solving" w:history="1">
        <w:r w:rsidR="00D33D55" w:rsidRPr="00A75B53">
          <w:rPr>
            <w:rFonts w:asciiTheme="minorHAnsi" w:hAnsiTheme="minorHAnsi"/>
            <w:color w:val="0000FF"/>
            <w:u w:val="single"/>
            <w:lang/>
          </w:rPr>
          <w:t>problem solving</w:t>
        </w:r>
      </w:hyperlink>
      <w:r w:rsidR="00D33D55" w:rsidRPr="00A75B53">
        <w:rPr>
          <w:rFonts w:asciiTheme="minorHAnsi" w:hAnsiTheme="minorHAnsi"/>
          <w:lang/>
        </w:rPr>
        <w:t>, communication, technology and a good educa</w:t>
      </w:r>
      <w:r w:rsidR="00A75B53" w:rsidRPr="00A75B53">
        <w:rPr>
          <w:rFonts w:asciiTheme="minorHAnsi" w:hAnsiTheme="minorHAnsi"/>
          <w:lang/>
        </w:rPr>
        <w:t xml:space="preserve">tion are important to employers. </w:t>
      </w:r>
    </w:p>
    <w:p w:rsidR="00D33D55" w:rsidRPr="00D33D55" w:rsidRDefault="00D33D55" w:rsidP="00A75B53">
      <w:pPr>
        <w:pStyle w:val="NormalWeb"/>
        <w:rPr>
          <w:rFonts w:asciiTheme="minorHAnsi" w:hAnsiTheme="minorHAnsi"/>
          <w:lang/>
        </w:rPr>
      </w:pPr>
      <w:r w:rsidRPr="00D33D55">
        <w:rPr>
          <w:rFonts w:asciiTheme="minorHAnsi" w:hAnsiTheme="minorHAnsi"/>
          <w:lang/>
        </w:rPr>
        <w:t>Several studies of young adults who had used AAC since childhood report a generally good quality of life, though few lived independently, or were in paid employment.</w:t>
      </w:r>
      <w:hyperlink r:id="rId12" w:anchor="cite_note-Hamm.2C_B._2006-103" w:history="1">
        <w:r w:rsidRPr="00D33D55">
          <w:rPr>
            <w:rFonts w:asciiTheme="minorHAnsi" w:hAnsiTheme="minorHAnsi"/>
            <w:color w:val="0000FF"/>
            <w:u w:val="single"/>
            <w:vertAlign w:val="superscript"/>
            <w:lang/>
          </w:rPr>
          <w:t>[104</w:t>
        </w:r>
        <w:proofErr w:type="gramStart"/>
        <w:r w:rsidRPr="00D33D55">
          <w:rPr>
            <w:rFonts w:asciiTheme="minorHAnsi" w:hAnsiTheme="minorHAnsi"/>
            <w:color w:val="0000FF"/>
            <w:u w:val="single"/>
            <w:vertAlign w:val="superscript"/>
            <w:lang/>
          </w:rPr>
          <w:t>]</w:t>
        </w:r>
        <w:proofErr w:type="gramEnd"/>
      </w:hyperlink>
      <w:hyperlink r:id="rId13" w:anchor="cite_note-lundlight1-108" w:history="1">
        <w:r w:rsidRPr="00D33D55">
          <w:rPr>
            <w:rFonts w:asciiTheme="minorHAnsi" w:hAnsiTheme="minorHAnsi"/>
            <w:color w:val="0000FF"/>
            <w:u w:val="single"/>
            <w:vertAlign w:val="superscript"/>
            <w:lang/>
          </w:rPr>
          <w:t>[109]</w:t>
        </w:r>
      </w:hyperlink>
      <w:r w:rsidRPr="00D33D55">
        <w:rPr>
          <w:rFonts w:asciiTheme="minorHAnsi" w:hAnsiTheme="minorHAnsi"/>
          <w:lang/>
        </w:rPr>
        <w:t xml:space="preserve"> The young adults used multiple modes of communication including aided and unaided AAC approaches.</w:t>
      </w:r>
      <w:hyperlink r:id="rId14" w:anchor="cite_note-Hamm.2C_B._2006-103" w:history="1">
        <w:r w:rsidRPr="00D33D55">
          <w:rPr>
            <w:rFonts w:asciiTheme="minorHAnsi" w:hAnsiTheme="minorHAnsi"/>
            <w:color w:val="0000FF"/>
            <w:u w:val="single"/>
            <w:vertAlign w:val="superscript"/>
            <w:lang/>
          </w:rPr>
          <w:t>[104]</w:t>
        </w:r>
      </w:hyperlink>
      <w:hyperlink r:id="rId15" w:anchor="cite_note-lundlight2-109" w:history="1">
        <w:r w:rsidRPr="00D33D55">
          <w:rPr>
            <w:rFonts w:asciiTheme="minorHAnsi" w:hAnsiTheme="minorHAnsi"/>
            <w:color w:val="0000FF"/>
            <w:u w:val="single"/>
            <w:vertAlign w:val="superscript"/>
            <w:lang/>
          </w:rPr>
          <w:t>[110]</w:t>
        </w:r>
      </w:hyperlink>
      <w:r w:rsidRPr="00D33D55">
        <w:rPr>
          <w:rFonts w:asciiTheme="minorHAnsi" w:hAnsiTheme="minorHAnsi"/>
          <w:lang/>
        </w:rPr>
        <w:t xml:space="preserve"> More positive quality of life outcomes often correlated with better quality of communication and interaction, as well as personal characteristics, family and community support, and excellent AAC services.</w:t>
      </w:r>
      <w:hyperlink r:id="rId16" w:anchor="cite_note-Hamm.2C_B._2006-103" w:history="1">
        <w:r w:rsidRPr="00D33D55">
          <w:rPr>
            <w:rFonts w:asciiTheme="minorHAnsi" w:hAnsiTheme="minorHAnsi"/>
            <w:color w:val="0000FF"/>
            <w:u w:val="single"/>
            <w:vertAlign w:val="superscript"/>
            <w:lang/>
          </w:rPr>
          <w:t>[104]</w:t>
        </w:r>
      </w:hyperlink>
      <w:hyperlink r:id="rId17" w:anchor="cite_note-lundlight1-108" w:history="1">
        <w:r w:rsidRPr="00D33D55">
          <w:rPr>
            <w:rFonts w:asciiTheme="minorHAnsi" w:hAnsiTheme="minorHAnsi"/>
            <w:color w:val="0000FF"/>
            <w:u w:val="single"/>
            <w:vertAlign w:val="superscript"/>
            <w:lang/>
          </w:rPr>
          <w:t>[109]</w:t>
        </w:r>
      </w:hyperlink>
      <w:hyperlink r:id="rId18" w:anchor="cite_note-lundlight3-110" w:history="1">
        <w:r w:rsidRPr="00D33D55">
          <w:rPr>
            <w:rFonts w:asciiTheme="minorHAnsi" w:hAnsiTheme="minorHAnsi"/>
            <w:color w:val="0000FF"/>
            <w:u w:val="single"/>
            <w:vertAlign w:val="superscript"/>
            <w:lang/>
          </w:rPr>
          <w:t>[111]</w:t>
        </w:r>
      </w:hyperlink>
      <w:r w:rsidRPr="00D33D55">
        <w:rPr>
          <w:rFonts w:asciiTheme="minorHAnsi" w:hAnsiTheme="minorHAnsi"/>
          <w:lang/>
        </w:rPr>
        <w:t xml:space="preserve"> Poorer outcomes were related to lack of access to appropriate AAC supports and resources, problems with technology and negative attitudes</w:t>
      </w:r>
      <w:r w:rsidRPr="00D33D55">
        <w:rPr>
          <w:rFonts w:asciiTheme="minorHAnsi" w:hAnsiTheme="minorHAnsi"/>
          <w:color w:val="0000FF"/>
          <w:u w:val="single"/>
          <w:vertAlign w:val="superscript"/>
          <w:lang/>
        </w:rPr>
        <w:t>[104][111</w:t>
      </w:r>
    </w:p>
    <w:p w:rsidR="00D33D55" w:rsidRPr="00A75B53" w:rsidRDefault="00D33D55">
      <w:pPr>
        <w:rPr>
          <w:sz w:val="24"/>
          <w:szCs w:val="24"/>
        </w:rPr>
      </w:pPr>
    </w:p>
    <w:p w:rsidR="00A27C06" w:rsidRDefault="009E287A" w:rsidP="00A75B53">
      <w:pPr>
        <w:jc w:val="both"/>
      </w:pPr>
      <w:r w:rsidRPr="00A75B53">
        <w:t>There are different forms that we communicate and different levels of communication, based on the individual’s needs; motor, visual, cognitive – strength and weaknesses.   Everyone can communicate!  Functional communication is the ability to receive or convey a message, regardless of the mode, to communicate effective and independently in any given environment, according to the American Speech &amp; Language – Hearing Association.  Functional communication is speaking and being understood.  Functional communication is having the ability to improve language skills and quality of life.</w:t>
      </w:r>
    </w:p>
    <w:sectPr w:rsidR="00A27C06" w:rsidSect="00C347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7C06"/>
    <w:rsid w:val="009E287A"/>
    <w:rsid w:val="00A27C06"/>
    <w:rsid w:val="00A75B53"/>
    <w:rsid w:val="00BB6DC3"/>
    <w:rsid w:val="00C34724"/>
    <w:rsid w:val="00D33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724"/>
  </w:style>
  <w:style w:type="paragraph" w:styleId="Heading3">
    <w:name w:val="heading 3"/>
    <w:basedOn w:val="Normal"/>
    <w:link w:val="Heading3Char"/>
    <w:uiPriority w:val="9"/>
    <w:qFormat/>
    <w:rsid w:val="00D33D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33D5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D33D5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33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ditsection">
    <w:name w:val="editsection"/>
    <w:basedOn w:val="DefaultParagraphFont"/>
    <w:rsid w:val="00D33D55"/>
  </w:style>
  <w:style w:type="character" w:customStyle="1" w:styleId="mw-headline">
    <w:name w:val="mw-headline"/>
    <w:basedOn w:val="DefaultParagraphFont"/>
    <w:rsid w:val="00D33D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84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Augmentative_and_alternative_communication" TargetMode="External"/><Relationship Id="rId13" Type="http://schemas.openxmlformats.org/officeDocument/2006/relationships/hyperlink" Target="http://en.wikipedia.org/wiki/Augmentative_and_alternative_communication" TargetMode="External"/><Relationship Id="rId18" Type="http://schemas.openxmlformats.org/officeDocument/2006/relationships/hyperlink" Target="http://en.wikipedia.org/wiki/Augmentative_and_alternative_communicatio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Work_ethic" TargetMode="External"/><Relationship Id="rId12" Type="http://schemas.openxmlformats.org/officeDocument/2006/relationships/hyperlink" Target="http://en.wikipedia.org/wiki/Augmentative_and_alternative_communication" TargetMode="External"/><Relationship Id="rId17" Type="http://schemas.openxmlformats.org/officeDocument/2006/relationships/hyperlink" Target="http://en.wikipedia.org/wiki/Augmentative_and_alternative_communication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wikipedia.org/wiki/Augmentative_and_alternative_communicatio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Augmentative_and_alternative_communication" TargetMode="External"/><Relationship Id="rId11" Type="http://schemas.openxmlformats.org/officeDocument/2006/relationships/hyperlink" Target="http://en.wikipedia.org/wiki/Problem_solving" TargetMode="External"/><Relationship Id="rId5" Type="http://schemas.openxmlformats.org/officeDocument/2006/relationships/hyperlink" Target="http://en.wikipedia.org/wiki/Augmentative_and_alternative_communication" TargetMode="External"/><Relationship Id="rId15" Type="http://schemas.openxmlformats.org/officeDocument/2006/relationships/hyperlink" Target="http://en.wikipedia.org/wiki/Augmentative_and_alternative_communication" TargetMode="External"/><Relationship Id="rId10" Type="http://schemas.openxmlformats.org/officeDocument/2006/relationships/hyperlink" Target="http://en.wikipedia.org/wiki/Time_management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Augmentative_and_alternative_communication" TargetMode="External"/><Relationship Id="rId14" Type="http://schemas.openxmlformats.org/officeDocument/2006/relationships/hyperlink" Target="http://en.wikipedia.org/wiki/Augmentative_and_alternative_communication" TargetMode="Externa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E1DE43AB-1E8E-4A30-A370-13F5DA3DD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itonya</dc:creator>
  <cp:lastModifiedBy>itonya</cp:lastModifiedBy>
  <cp:revision>1</cp:revision>
  <dcterms:created xsi:type="dcterms:W3CDTF">2012-07-30T14:30:00Z</dcterms:created>
  <dcterms:modified xsi:type="dcterms:W3CDTF">2012-07-30T15:22:00Z</dcterms:modified>
</cp:coreProperties>
</file>